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CE1" w:rsidRPr="0001342E" w:rsidRDefault="00FA1CE1" w:rsidP="00FA1CE1">
      <w:pPr>
        <w:pStyle w:val="NoSpacing"/>
        <w:jc w:val="center"/>
        <w:rPr>
          <w:rFonts w:cstheme="minorHAnsi"/>
          <w:b/>
          <w:smallCaps/>
          <w:sz w:val="24"/>
        </w:rPr>
      </w:pPr>
      <w:bookmarkStart w:id="0" w:name="_GoBack"/>
      <w:bookmarkEnd w:id="0"/>
      <w:r w:rsidRPr="0001342E">
        <w:rPr>
          <w:rFonts w:cstheme="minorHAnsi"/>
          <w:b/>
          <w:smallCaps/>
          <w:sz w:val="24"/>
        </w:rPr>
        <w:t>War and Its Literature</w:t>
      </w:r>
    </w:p>
    <w:p w:rsidR="00FA1CE1" w:rsidRPr="00F67DF8" w:rsidRDefault="00FA1CE1" w:rsidP="00FA1CE1">
      <w:pPr>
        <w:pStyle w:val="NoSpacing"/>
        <w:jc w:val="center"/>
        <w:rPr>
          <w:rFonts w:cstheme="minorHAnsi"/>
        </w:rPr>
      </w:pPr>
      <w:r w:rsidRPr="00F67DF8">
        <w:rPr>
          <w:rFonts w:cstheme="minorHAnsi"/>
        </w:rPr>
        <w:t>HUMS 318</w:t>
      </w:r>
    </w:p>
    <w:p w:rsidR="00FA1CE1" w:rsidRPr="00F67DF8" w:rsidRDefault="00FA1CE1" w:rsidP="00FA1CE1">
      <w:pPr>
        <w:pStyle w:val="NoSpacing"/>
        <w:jc w:val="center"/>
        <w:rPr>
          <w:rFonts w:cstheme="minorHAnsi"/>
        </w:rPr>
      </w:pPr>
      <w:r w:rsidRPr="00F67DF8">
        <w:rPr>
          <w:rFonts w:cstheme="minorHAnsi"/>
        </w:rPr>
        <w:t>Spring 2020</w:t>
      </w:r>
    </w:p>
    <w:p w:rsidR="00FA1CE1" w:rsidRPr="00F67DF8" w:rsidRDefault="00FA1CE1" w:rsidP="00FA1CE1">
      <w:pPr>
        <w:jc w:val="center"/>
        <w:rPr>
          <w:rFonts w:cstheme="minorHAnsi"/>
        </w:rPr>
      </w:pPr>
    </w:p>
    <w:p w:rsidR="00675B81" w:rsidRPr="00F67DF8" w:rsidRDefault="00FA1CE1" w:rsidP="00FA1CE1">
      <w:pPr>
        <w:jc w:val="center"/>
        <w:rPr>
          <w:rFonts w:cstheme="minorHAnsi"/>
        </w:rPr>
      </w:pPr>
      <w:r w:rsidRPr="00F67DF8">
        <w:rPr>
          <w:rFonts w:cstheme="minorHAnsi"/>
          <w:noProof/>
        </w:rPr>
        <w:drawing>
          <wp:inline distT="0" distB="0" distL="0" distR="0">
            <wp:extent cx="3378320" cy="2387600"/>
            <wp:effectExtent l="57150" t="57150" r="50800" b="50800"/>
            <wp:docPr id="1" name="Picture 1" descr="C:\Users\ksankow\AppData\Local\Microsoft\Windows\INetCache\Content.Outlook\19FKOYA2\20190926_08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nkow\AppData\Local\Microsoft\Windows\INetCache\Content.Outlook\19FKOYA2\20190926_0859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6" t="5841" r="2778" b="4558"/>
                    <a:stretch/>
                  </pic:blipFill>
                  <pic:spPr bwMode="auto">
                    <a:xfrm>
                      <a:off x="0" y="0"/>
                      <a:ext cx="3380839" cy="2389380"/>
                    </a:xfrm>
                    <a:prstGeom prst="rect">
                      <a:avLst/>
                    </a:prstGeom>
                    <a:noFill/>
                    <a:ln w="63500">
                      <a:solidFill>
                        <a:schemeClr val="tx1"/>
                      </a:solidFill>
                    </a:ln>
                    <a:extLst>
                      <a:ext uri="{53640926-AAD7-44D8-BBD7-CCE9431645EC}">
                        <a14:shadowObscured xmlns:a14="http://schemas.microsoft.com/office/drawing/2010/main"/>
                      </a:ext>
                    </a:extLst>
                  </pic:spPr>
                </pic:pic>
              </a:graphicData>
            </a:graphic>
          </wp:inline>
        </w:drawing>
      </w:r>
    </w:p>
    <w:p w:rsidR="00646904" w:rsidRPr="00F67DF8" w:rsidRDefault="00646904" w:rsidP="00646904">
      <w:pPr>
        <w:rPr>
          <w:rFonts w:cstheme="minorHAnsi"/>
        </w:rPr>
      </w:pPr>
    </w:p>
    <w:p w:rsidR="00646904" w:rsidRPr="00F67DF8" w:rsidRDefault="00646904" w:rsidP="00646904">
      <w:pPr>
        <w:rPr>
          <w:rFonts w:cstheme="minorHAnsi"/>
        </w:rPr>
      </w:pPr>
      <w:r w:rsidRPr="00F67DF8">
        <w:rPr>
          <w:rFonts w:cstheme="minorHAnsi"/>
        </w:rPr>
        <w:tab/>
        <w:t>War is the first of “The Four Horsemen of the Apocalypse.”  A pre-Socratic fragment attributed to Heraclitus declares war to be “the father of all things,” General William Tecumseh Sherman, who loved it, said, “War is Hell.”  All have a claim to be correct.</w:t>
      </w:r>
    </w:p>
    <w:p w:rsidR="00646904" w:rsidRPr="00F67DF8" w:rsidRDefault="00646904" w:rsidP="00646904">
      <w:pPr>
        <w:rPr>
          <w:rFonts w:cstheme="minorHAnsi"/>
        </w:rPr>
      </w:pPr>
      <w:r w:rsidRPr="00F67DF8">
        <w:rPr>
          <w:rFonts w:cstheme="minorHAnsi"/>
        </w:rPr>
        <w:tab/>
        <w:t xml:space="preserve">What is clear is that war has supplied humanity’s symbols, similes, and language references from college football’s “Fighting Irish” to “The War on Poverty.”  War also figures in the first tier of literature and all other liberal arts. An entire publishing </w:t>
      </w:r>
      <w:r w:rsidRPr="00F67DF8">
        <w:rPr>
          <w:rFonts w:cstheme="minorHAnsi"/>
          <w:u w:val="single"/>
        </w:rPr>
        <w:t>genre</w:t>
      </w:r>
      <w:r w:rsidRPr="00F67DF8">
        <w:rPr>
          <w:rFonts w:cstheme="minorHAnsi"/>
        </w:rPr>
        <w:t xml:space="preserve"> has existed to advise corporate CEOs on how to follow the strategies of Sun Tzu’s </w:t>
      </w:r>
      <w:r w:rsidRPr="00F67DF8">
        <w:rPr>
          <w:rFonts w:cstheme="minorHAnsi"/>
          <w:u w:val="single"/>
        </w:rPr>
        <w:t>The Art of War</w:t>
      </w:r>
      <w:r w:rsidRPr="00F67DF8">
        <w:rPr>
          <w:rFonts w:cstheme="minorHAnsi"/>
        </w:rPr>
        <w:t>.</w:t>
      </w:r>
    </w:p>
    <w:p w:rsidR="00646904" w:rsidRPr="00F67DF8" w:rsidRDefault="00646904" w:rsidP="00646904">
      <w:pPr>
        <w:rPr>
          <w:rFonts w:cstheme="minorHAnsi"/>
        </w:rPr>
      </w:pPr>
      <w:r w:rsidRPr="00F67DF8">
        <w:rPr>
          <w:rFonts w:cstheme="minorHAnsi"/>
        </w:rPr>
        <w:tab/>
        <w:t>Uniquely, the starting points for our study of war will, as</w:t>
      </w:r>
      <w:r w:rsidR="00AE24D6" w:rsidRPr="00F67DF8">
        <w:rPr>
          <w:rFonts w:cstheme="minorHAnsi"/>
        </w:rPr>
        <w:t xml:space="preserve"> the attached syllabus displays, be grounded in literature, in novels of wartime societies, cultures, and situations which reveal that the phenomenon of war affects nations and peoples in their entireties, not just in the outcomes of combat on the battlefield although these will be covered in the texts to be read as well.  Each book assigned will, in class, be set in the context of a major war and its various scholarly-historical interpretations, and an extensive bibliography will offer notable non-fiction works on the roster of conflicts to be considered during the semester. The place of warfare in intellectual and moral history will also be depicted in the monuments of, inter alia, Les Invalides, </w:t>
      </w:r>
      <w:proofErr w:type="spellStart"/>
      <w:r w:rsidR="00AE24D6" w:rsidRPr="00F67DF8">
        <w:rPr>
          <w:rFonts w:cstheme="minorHAnsi"/>
        </w:rPr>
        <w:t>Yasukuni</w:t>
      </w:r>
      <w:proofErr w:type="spellEnd"/>
      <w:r w:rsidR="00AE24D6" w:rsidRPr="00F67DF8">
        <w:rPr>
          <w:rFonts w:cstheme="minorHAnsi"/>
        </w:rPr>
        <w:t>, Trafalgar Square, the Vietnam Veterans Memorial and Woolsey Hall.</w:t>
      </w:r>
    </w:p>
    <w:p w:rsidR="00AE24D6" w:rsidRPr="00F67DF8" w:rsidRDefault="00AE24D6" w:rsidP="00646904">
      <w:pPr>
        <w:rPr>
          <w:rFonts w:cstheme="minorHAnsi"/>
        </w:rPr>
      </w:pPr>
      <w:r w:rsidRPr="00F67DF8">
        <w:rPr>
          <w:rFonts w:cstheme="minorHAnsi"/>
        </w:rPr>
        <w:tab/>
        <w:t>For the Humanities, the arena of knowledge which uniquely takes uncertainty to be its province, war is an innate topic of study.  As General, later President, Eisenhower observed, in preparing for battle, “All plans are useless, but planning is essential” – which could be the motto for this seminar.  The syllabus reveals that to a significant extent every major era in intellectual and political history can only fully be understood by investigating the war or wars that lie at its core – for better or worse.</w:t>
      </w:r>
    </w:p>
    <w:p w:rsidR="00D41EE8" w:rsidRPr="0001342E" w:rsidRDefault="00AE24D6" w:rsidP="0001342E">
      <w:pPr>
        <w:pStyle w:val="NoSpacing"/>
        <w:jc w:val="center"/>
        <w:rPr>
          <w:b/>
          <w:smallCaps/>
          <w:sz w:val="24"/>
        </w:rPr>
      </w:pPr>
      <w:r>
        <w:rPr>
          <w:rFonts w:ascii="Times New Roman" w:hAnsi="Times New Roman" w:cs="Times New Roman"/>
        </w:rPr>
        <w:br w:type="page"/>
      </w:r>
      <w:r w:rsidR="00D41EE8" w:rsidRPr="0001342E">
        <w:rPr>
          <w:b/>
          <w:smallCaps/>
          <w:sz w:val="24"/>
        </w:rPr>
        <w:lastRenderedPageBreak/>
        <w:t>War and its Literature</w:t>
      </w:r>
    </w:p>
    <w:p w:rsidR="0001342E" w:rsidRDefault="0001342E" w:rsidP="0001342E">
      <w:pPr>
        <w:pStyle w:val="NoSpacing"/>
        <w:jc w:val="center"/>
      </w:pPr>
      <w:r>
        <w:t xml:space="preserve">Syllabus </w:t>
      </w:r>
    </w:p>
    <w:p w:rsidR="00D41EE8" w:rsidRDefault="00D41EE8" w:rsidP="0001342E">
      <w:pPr>
        <w:pStyle w:val="NoSpacing"/>
        <w:jc w:val="center"/>
      </w:pPr>
      <w:r>
        <w:t>Spring 2020</w:t>
      </w:r>
    </w:p>
    <w:p w:rsidR="00D41EE8" w:rsidRDefault="00D41EE8" w:rsidP="00D41EE8">
      <w:pPr>
        <w:pStyle w:val="NoSpacing"/>
        <w:tabs>
          <w:tab w:val="left" w:pos="4128"/>
        </w:tabs>
      </w:pPr>
    </w:p>
    <w:p w:rsidR="00743EA9" w:rsidRDefault="00D41EE8" w:rsidP="00D41EE8">
      <w:pPr>
        <w:pStyle w:val="NoSpacing"/>
        <w:tabs>
          <w:tab w:val="left" w:pos="1080"/>
        </w:tabs>
      </w:pPr>
      <w:r>
        <w:t xml:space="preserve">I and II. </w:t>
      </w:r>
      <w:r>
        <w:tab/>
      </w:r>
      <w:r w:rsidRPr="00743EA9">
        <w:rPr>
          <w:u w:val="single"/>
        </w:rPr>
        <w:t>War in the Human Condition</w:t>
      </w:r>
      <w:r>
        <w:t xml:space="preserve">  </w:t>
      </w:r>
    </w:p>
    <w:p w:rsidR="00D41EE8" w:rsidRDefault="00743EA9" w:rsidP="00D41EE8">
      <w:pPr>
        <w:pStyle w:val="NoSpacing"/>
        <w:tabs>
          <w:tab w:val="left" w:pos="1080"/>
        </w:tabs>
      </w:pPr>
      <w:r>
        <w:tab/>
      </w:r>
      <w:r w:rsidR="00D41EE8">
        <w:t xml:space="preserve">Simone Weil, “The </w:t>
      </w:r>
      <w:r w:rsidR="00D41EE8" w:rsidRPr="002A1FD8">
        <w:rPr>
          <w:u w:val="single"/>
        </w:rPr>
        <w:t>Iliad</w:t>
      </w:r>
      <w:r w:rsidR="003440CA">
        <w:t xml:space="preserve"> or the Poem of Force</w:t>
      </w:r>
      <w:r w:rsidR="00D41EE8">
        <w:t xml:space="preserve">”  </w:t>
      </w:r>
    </w:p>
    <w:p w:rsidR="00743EA9" w:rsidRDefault="00D41EE8" w:rsidP="00743EA9">
      <w:pPr>
        <w:pStyle w:val="NoSpacing"/>
        <w:tabs>
          <w:tab w:val="left" w:pos="1080"/>
        </w:tabs>
        <w:ind w:left="1080"/>
      </w:pPr>
      <w:r>
        <w:t>Herodotus:  Marathon, Thermopylae, Salamis</w:t>
      </w:r>
      <w:r w:rsidR="00743EA9">
        <w:t xml:space="preserve">.  Xenophon, The Persian Expedition (“The March up Country”) and </w:t>
      </w:r>
      <w:proofErr w:type="spellStart"/>
      <w:r w:rsidR="00743EA9" w:rsidRPr="002A1FD8">
        <w:rPr>
          <w:u w:val="single"/>
        </w:rPr>
        <w:t>Watership</w:t>
      </w:r>
      <w:proofErr w:type="spellEnd"/>
      <w:r w:rsidR="00743EA9" w:rsidRPr="002A1FD8">
        <w:rPr>
          <w:u w:val="single"/>
        </w:rPr>
        <w:t xml:space="preserve"> Down</w:t>
      </w:r>
    </w:p>
    <w:p w:rsidR="00743EA9" w:rsidRDefault="00D41EE8" w:rsidP="00743EA9">
      <w:pPr>
        <w:pStyle w:val="NoSpacing"/>
        <w:tabs>
          <w:tab w:val="left" w:pos="1080"/>
        </w:tabs>
        <w:ind w:left="1080"/>
      </w:pPr>
      <w:r>
        <w:t xml:space="preserve">Thucydides, </w:t>
      </w:r>
      <w:r w:rsidRPr="002A1FD8">
        <w:rPr>
          <w:u w:val="single"/>
        </w:rPr>
        <w:t>The Peloponnesian War</w:t>
      </w:r>
    </w:p>
    <w:p w:rsidR="00743EA9" w:rsidRDefault="002A1FD8" w:rsidP="00743EA9">
      <w:pPr>
        <w:pStyle w:val="NoSpacing"/>
        <w:tabs>
          <w:tab w:val="left" w:pos="1080"/>
        </w:tabs>
        <w:ind w:left="1080"/>
      </w:pPr>
      <w:r>
        <w:t xml:space="preserve">Polybius on The Camp and The Password  </w:t>
      </w:r>
    </w:p>
    <w:p w:rsidR="002A1FD8" w:rsidRDefault="002A1FD8" w:rsidP="00743EA9">
      <w:pPr>
        <w:pStyle w:val="NoSpacing"/>
        <w:tabs>
          <w:tab w:val="left" w:pos="1080"/>
        </w:tabs>
        <w:ind w:left="1080"/>
      </w:pPr>
      <w:r>
        <w:t xml:space="preserve">Caesar’s </w:t>
      </w:r>
      <w:r w:rsidRPr="002A1FD8">
        <w:rPr>
          <w:u w:val="single"/>
        </w:rPr>
        <w:t>Gallic War</w:t>
      </w:r>
      <w:r>
        <w:t xml:space="preserve"> and</w:t>
      </w:r>
      <w:r w:rsidR="003440CA">
        <w:t xml:space="preserve"> assassination</w:t>
      </w:r>
    </w:p>
    <w:p w:rsidR="002A1FD8" w:rsidRDefault="002A1FD8" w:rsidP="00D41EE8">
      <w:pPr>
        <w:pStyle w:val="NoSpacing"/>
        <w:tabs>
          <w:tab w:val="left" w:pos="1080"/>
        </w:tabs>
      </w:pPr>
    </w:p>
    <w:p w:rsidR="00743EA9" w:rsidRDefault="002A1FD8" w:rsidP="00D41EE8">
      <w:pPr>
        <w:pStyle w:val="NoSpacing"/>
        <w:tabs>
          <w:tab w:val="left" w:pos="1080"/>
        </w:tabs>
      </w:pPr>
      <w:r>
        <w:t>III.</w:t>
      </w:r>
      <w:r>
        <w:tab/>
      </w:r>
      <w:r w:rsidRPr="002A1FD8">
        <w:rPr>
          <w:u w:val="single"/>
        </w:rPr>
        <w:t>Joan of Arc</w:t>
      </w:r>
    </w:p>
    <w:p w:rsidR="00743EA9" w:rsidRDefault="00743EA9" w:rsidP="00D41EE8">
      <w:pPr>
        <w:pStyle w:val="NoSpacing"/>
        <w:tabs>
          <w:tab w:val="left" w:pos="1080"/>
        </w:tabs>
      </w:pPr>
      <w:r>
        <w:tab/>
      </w:r>
      <w:r w:rsidR="002A1FD8">
        <w:t xml:space="preserve">George Bernard Shaw.  </w:t>
      </w:r>
      <w:r w:rsidR="002A1FD8" w:rsidRPr="002A1FD8">
        <w:rPr>
          <w:u w:val="single"/>
        </w:rPr>
        <w:t>Saint Joan</w:t>
      </w:r>
      <w:r>
        <w:t xml:space="preserve"> </w:t>
      </w:r>
    </w:p>
    <w:p w:rsidR="002A1FD8" w:rsidRDefault="00743EA9" w:rsidP="00D41EE8">
      <w:pPr>
        <w:pStyle w:val="NoSpacing"/>
        <w:tabs>
          <w:tab w:val="left" w:pos="1080"/>
        </w:tabs>
      </w:pPr>
      <w:r>
        <w:tab/>
      </w:r>
      <w:r w:rsidR="002A1FD8">
        <w:t xml:space="preserve">Shakespeare, </w:t>
      </w:r>
      <w:r w:rsidR="002A1FD8" w:rsidRPr="002A1FD8">
        <w:rPr>
          <w:u w:val="single"/>
        </w:rPr>
        <w:t>King Lear</w:t>
      </w:r>
      <w:r w:rsidR="002A1FD8">
        <w:t>, Act 1, Scene 1</w:t>
      </w:r>
    </w:p>
    <w:p w:rsidR="002A1FD8" w:rsidRDefault="002A1FD8" w:rsidP="00D41EE8">
      <w:pPr>
        <w:pStyle w:val="NoSpacing"/>
        <w:tabs>
          <w:tab w:val="left" w:pos="1080"/>
        </w:tabs>
      </w:pPr>
    </w:p>
    <w:p w:rsidR="00743EA9" w:rsidRDefault="002A1FD8" w:rsidP="00D41EE8">
      <w:pPr>
        <w:pStyle w:val="NoSpacing"/>
        <w:tabs>
          <w:tab w:val="left" w:pos="1080"/>
        </w:tabs>
      </w:pPr>
      <w:r>
        <w:t>IV.</w:t>
      </w:r>
      <w:r>
        <w:tab/>
      </w:r>
      <w:r w:rsidRPr="002A1FD8">
        <w:rPr>
          <w:u w:val="single"/>
        </w:rPr>
        <w:t>The Thirty Years’ War</w:t>
      </w:r>
    </w:p>
    <w:p w:rsidR="00743EA9" w:rsidRDefault="00743EA9" w:rsidP="00D41EE8">
      <w:pPr>
        <w:pStyle w:val="NoSpacing"/>
        <w:tabs>
          <w:tab w:val="left" w:pos="1080"/>
        </w:tabs>
      </w:pPr>
      <w:r>
        <w:tab/>
      </w:r>
      <w:proofErr w:type="spellStart"/>
      <w:r w:rsidR="002A1FD8" w:rsidRPr="002A1FD8">
        <w:rPr>
          <w:u w:val="single"/>
        </w:rPr>
        <w:t>Gustavus</w:t>
      </w:r>
      <w:proofErr w:type="spellEnd"/>
      <w:r w:rsidR="002A1FD8" w:rsidRPr="002A1FD8">
        <w:rPr>
          <w:u w:val="single"/>
        </w:rPr>
        <w:t xml:space="preserve"> Adolphus</w:t>
      </w:r>
    </w:p>
    <w:p w:rsidR="002A1FD8" w:rsidRDefault="00743EA9" w:rsidP="00D41EE8">
      <w:pPr>
        <w:pStyle w:val="NoSpacing"/>
        <w:tabs>
          <w:tab w:val="left" w:pos="1080"/>
        </w:tabs>
      </w:pPr>
      <w:r>
        <w:tab/>
        <w:t xml:space="preserve">Hugo Grotius, </w:t>
      </w:r>
      <w:r w:rsidRPr="002A1FD8">
        <w:rPr>
          <w:u w:val="single"/>
        </w:rPr>
        <w:t>On the Law of War and Peace</w:t>
      </w:r>
    </w:p>
    <w:p w:rsidR="002A1FD8" w:rsidRDefault="002A1FD8" w:rsidP="00D41EE8">
      <w:pPr>
        <w:pStyle w:val="NoSpacing"/>
        <w:tabs>
          <w:tab w:val="left" w:pos="1080"/>
        </w:tabs>
      </w:pPr>
    </w:p>
    <w:p w:rsidR="00743EA9" w:rsidRDefault="002A1FD8" w:rsidP="002A1FD8">
      <w:pPr>
        <w:pStyle w:val="NoSpacing"/>
        <w:tabs>
          <w:tab w:val="left" w:pos="1080"/>
        </w:tabs>
        <w:ind w:left="1080" w:hanging="1080"/>
      </w:pPr>
      <w:r>
        <w:t>V.</w:t>
      </w:r>
      <w:r>
        <w:tab/>
      </w:r>
      <w:r w:rsidRPr="002A1FD8">
        <w:rPr>
          <w:u w:val="single"/>
        </w:rPr>
        <w:t>King Philip’s War</w:t>
      </w:r>
    </w:p>
    <w:p w:rsidR="003440CA" w:rsidRDefault="00743EA9" w:rsidP="002A1FD8">
      <w:pPr>
        <w:pStyle w:val="NoSpacing"/>
        <w:tabs>
          <w:tab w:val="left" w:pos="1080"/>
        </w:tabs>
        <w:ind w:left="1080" w:hanging="1080"/>
      </w:pPr>
      <w:r>
        <w:tab/>
      </w:r>
      <w:r w:rsidR="002A1FD8">
        <w:t xml:space="preserve">Douglas Leach, </w:t>
      </w:r>
      <w:r w:rsidR="002A1FD8" w:rsidRPr="002A1FD8">
        <w:rPr>
          <w:u w:val="single"/>
        </w:rPr>
        <w:t>Flintlock and Tomahawk</w:t>
      </w:r>
    </w:p>
    <w:p w:rsidR="002A1FD8" w:rsidRDefault="003440CA" w:rsidP="002A1FD8">
      <w:pPr>
        <w:pStyle w:val="NoSpacing"/>
        <w:tabs>
          <w:tab w:val="left" w:pos="1080"/>
        </w:tabs>
        <w:ind w:left="1080" w:hanging="1080"/>
      </w:pPr>
      <w:r>
        <w:tab/>
      </w:r>
      <w:r w:rsidR="002A1FD8">
        <w:t xml:space="preserve">Lisa Brooks, </w:t>
      </w:r>
      <w:r w:rsidR="002A1FD8" w:rsidRPr="002A1FD8">
        <w:rPr>
          <w:u w:val="single"/>
        </w:rPr>
        <w:t>A New History of King Philip’s War</w:t>
      </w:r>
      <w:r w:rsidR="002A1FD8">
        <w:t xml:space="preserve"> (</w:t>
      </w:r>
      <w:r w:rsidR="002A1FD8" w:rsidRPr="002A1FD8">
        <w:rPr>
          <w:u w:val="single"/>
        </w:rPr>
        <w:t>Our Beloved Kin</w:t>
      </w:r>
      <w:r>
        <w:t>)</w:t>
      </w:r>
    </w:p>
    <w:p w:rsidR="002A1FD8" w:rsidRDefault="002A1FD8" w:rsidP="00D41EE8">
      <w:pPr>
        <w:pStyle w:val="NoSpacing"/>
        <w:tabs>
          <w:tab w:val="left" w:pos="1080"/>
        </w:tabs>
      </w:pPr>
    </w:p>
    <w:p w:rsidR="00743EA9" w:rsidRDefault="002A1FD8" w:rsidP="002A1FD8">
      <w:pPr>
        <w:pStyle w:val="NoSpacing"/>
        <w:tabs>
          <w:tab w:val="left" w:pos="1080"/>
        </w:tabs>
        <w:ind w:left="1080" w:hanging="1080"/>
      </w:pPr>
      <w:r>
        <w:t>VI.</w:t>
      </w:r>
      <w:r>
        <w:tab/>
      </w:r>
      <w:r w:rsidRPr="002A1FD8">
        <w:rPr>
          <w:u w:val="single"/>
        </w:rPr>
        <w:t>The American Revolution</w:t>
      </w:r>
    </w:p>
    <w:p w:rsidR="003440CA" w:rsidRDefault="00743EA9" w:rsidP="002A1FD8">
      <w:pPr>
        <w:pStyle w:val="NoSpacing"/>
        <w:tabs>
          <w:tab w:val="left" w:pos="1080"/>
        </w:tabs>
        <w:ind w:left="1080" w:hanging="1080"/>
      </w:pPr>
      <w:r>
        <w:tab/>
      </w:r>
      <w:r w:rsidR="002A1FD8">
        <w:t xml:space="preserve">James Fenimore Cooper, </w:t>
      </w:r>
      <w:r w:rsidR="002A1FD8" w:rsidRPr="002A1FD8">
        <w:rPr>
          <w:u w:val="single"/>
        </w:rPr>
        <w:t>The Last of the Mohicans</w:t>
      </w:r>
      <w:r w:rsidR="002A1FD8">
        <w:t xml:space="preserve">  </w:t>
      </w:r>
    </w:p>
    <w:p w:rsidR="002A1FD8" w:rsidRDefault="003440CA" w:rsidP="002A1FD8">
      <w:pPr>
        <w:pStyle w:val="NoSpacing"/>
        <w:tabs>
          <w:tab w:val="left" w:pos="1080"/>
        </w:tabs>
        <w:ind w:left="1080" w:hanging="1080"/>
      </w:pPr>
      <w:r>
        <w:tab/>
      </w:r>
      <w:r w:rsidR="002A1FD8">
        <w:t xml:space="preserve">Robert Graves, </w:t>
      </w:r>
      <w:r w:rsidR="002A1FD8" w:rsidRPr="002A1FD8">
        <w:rPr>
          <w:u w:val="single"/>
        </w:rPr>
        <w:t>Sergeant Lamb’s America</w:t>
      </w:r>
    </w:p>
    <w:p w:rsidR="002A1FD8" w:rsidRDefault="002A1FD8" w:rsidP="002A1FD8">
      <w:pPr>
        <w:pStyle w:val="NoSpacing"/>
        <w:tabs>
          <w:tab w:val="left" w:pos="1080"/>
        </w:tabs>
        <w:ind w:left="1080" w:hanging="1080"/>
      </w:pPr>
    </w:p>
    <w:p w:rsidR="00743EA9" w:rsidRDefault="002A1FD8" w:rsidP="002A1FD8">
      <w:pPr>
        <w:pStyle w:val="NoSpacing"/>
        <w:tabs>
          <w:tab w:val="left" w:pos="1080"/>
        </w:tabs>
        <w:ind w:left="1080" w:hanging="1080"/>
      </w:pPr>
      <w:r>
        <w:t>VII.</w:t>
      </w:r>
      <w:r>
        <w:tab/>
      </w:r>
      <w:r w:rsidRPr="00743EA9">
        <w:rPr>
          <w:u w:val="single"/>
        </w:rPr>
        <w:t>The Civil War</w:t>
      </w:r>
    </w:p>
    <w:p w:rsidR="00743EA9" w:rsidRDefault="00743EA9" w:rsidP="002A1FD8">
      <w:pPr>
        <w:pStyle w:val="NoSpacing"/>
        <w:tabs>
          <w:tab w:val="left" w:pos="1080"/>
        </w:tabs>
        <w:ind w:left="1080" w:hanging="1080"/>
      </w:pPr>
      <w:r>
        <w:tab/>
      </w:r>
      <w:r w:rsidR="002A1FD8">
        <w:t xml:space="preserve">James McPherson, </w:t>
      </w:r>
      <w:r w:rsidR="002A1FD8" w:rsidRPr="00743EA9">
        <w:rPr>
          <w:u w:val="single"/>
        </w:rPr>
        <w:t>Why the Civil War Still Matters</w:t>
      </w:r>
      <w:r w:rsidR="002A1FD8">
        <w:t xml:space="preserve">.  </w:t>
      </w:r>
    </w:p>
    <w:p w:rsidR="00743EA9" w:rsidRDefault="00743EA9" w:rsidP="002A1FD8">
      <w:pPr>
        <w:pStyle w:val="NoSpacing"/>
        <w:tabs>
          <w:tab w:val="left" w:pos="1080"/>
        </w:tabs>
        <w:ind w:left="1080" w:hanging="1080"/>
      </w:pPr>
      <w:r>
        <w:tab/>
      </w:r>
      <w:r w:rsidR="002A1FD8">
        <w:t xml:space="preserve">Tom Carhart, </w:t>
      </w:r>
      <w:r w:rsidR="002A1FD8" w:rsidRPr="00743EA9">
        <w:rPr>
          <w:u w:val="single"/>
        </w:rPr>
        <w:t>Lee’s Real Plan at Gettysburg</w:t>
      </w:r>
      <w:r w:rsidR="002A1FD8">
        <w:t xml:space="preserve">.  </w:t>
      </w:r>
    </w:p>
    <w:p w:rsidR="002A1FD8" w:rsidRDefault="00743EA9" w:rsidP="002A1FD8">
      <w:pPr>
        <w:pStyle w:val="NoSpacing"/>
        <w:tabs>
          <w:tab w:val="left" w:pos="1080"/>
        </w:tabs>
        <w:ind w:left="1080" w:hanging="1080"/>
      </w:pPr>
      <w:r>
        <w:tab/>
      </w:r>
      <w:r w:rsidR="002A1FD8">
        <w:t>William Faulkner, “For Every Southern Boy…”</w:t>
      </w:r>
    </w:p>
    <w:p w:rsidR="002A1FD8" w:rsidRDefault="002A1FD8" w:rsidP="002A1FD8">
      <w:pPr>
        <w:pStyle w:val="NoSpacing"/>
        <w:tabs>
          <w:tab w:val="left" w:pos="1080"/>
        </w:tabs>
        <w:ind w:left="1080" w:hanging="1080"/>
      </w:pPr>
    </w:p>
    <w:p w:rsidR="003440CA" w:rsidRDefault="002A1FD8" w:rsidP="002A1FD8">
      <w:pPr>
        <w:pStyle w:val="NoSpacing"/>
        <w:tabs>
          <w:tab w:val="left" w:pos="1080"/>
        </w:tabs>
        <w:ind w:left="1080" w:hanging="1080"/>
        <w:rPr>
          <w:u w:val="single"/>
        </w:rPr>
      </w:pPr>
      <w:r>
        <w:t>VIII.</w:t>
      </w:r>
      <w:r>
        <w:tab/>
      </w:r>
      <w:r w:rsidRPr="003440CA">
        <w:rPr>
          <w:u w:val="single"/>
        </w:rPr>
        <w:t>The Indian Wars</w:t>
      </w:r>
    </w:p>
    <w:p w:rsidR="003440CA" w:rsidRDefault="003440CA" w:rsidP="002A1FD8">
      <w:pPr>
        <w:pStyle w:val="NoSpacing"/>
        <w:tabs>
          <w:tab w:val="left" w:pos="1080"/>
        </w:tabs>
        <w:ind w:left="1080" w:hanging="1080"/>
      </w:pPr>
      <w:r>
        <w:tab/>
      </w:r>
      <w:r w:rsidR="002A1FD8">
        <w:t>Custer’s Last Stand</w:t>
      </w:r>
      <w:r w:rsidR="002A1FD8" w:rsidRPr="002A1FD8">
        <w:t xml:space="preserve">. </w:t>
      </w:r>
    </w:p>
    <w:p w:rsidR="002A1FD8" w:rsidRDefault="003440CA" w:rsidP="002A1FD8">
      <w:pPr>
        <w:pStyle w:val="NoSpacing"/>
        <w:tabs>
          <w:tab w:val="left" w:pos="1080"/>
        </w:tabs>
        <w:ind w:left="1080" w:hanging="1080"/>
      </w:pPr>
      <w:r>
        <w:tab/>
      </w:r>
      <w:proofErr w:type="spellStart"/>
      <w:r w:rsidR="00743EA9">
        <w:t>Pekka</w:t>
      </w:r>
      <w:proofErr w:type="spellEnd"/>
      <w:r w:rsidR="002A1FD8" w:rsidRPr="002A1FD8">
        <w:t xml:space="preserve"> </w:t>
      </w:r>
      <w:proofErr w:type="spellStart"/>
      <w:r w:rsidR="002A1FD8" w:rsidRPr="002A1FD8">
        <w:t>H</w:t>
      </w:r>
      <w:r w:rsidR="002A1FD8" w:rsidRPr="002A1FD8">
        <w:rPr>
          <w:rFonts w:cstheme="minorHAnsi"/>
        </w:rPr>
        <w:t>ä</w:t>
      </w:r>
      <w:r w:rsidR="002A1FD8" w:rsidRPr="002A1FD8">
        <w:t>m</w:t>
      </w:r>
      <w:r w:rsidR="002A1FD8" w:rsidRPr="002A1FD8">
        <w:rPr>
          <w:rFonts w:cstheme="minorHAnsi"/>
        </w:rPr>
        <w:t>ä</w:t>
      </w:r>
      <w:r w:rsidR="002A1FD8" w:rsidRPr="002A1FD8">
        <w:t>l</w:t>
      </w:r>
      <w:r w:rsidR="002A1FD8" w:rsidRPr="002A1FD8">
        <w:rPr>
          <w:rFonts w:cstheme="minorHAnsi"/>
        </w:rPr>
        <w:t>ä</w:t>
      </w:r>
      <w:r w:rsidR="002A1FD8" w:rsidRPr="002A1FD8">
        <w:t>inen</w:t>
      </w:r>
      <w:proofErr w:type="spellEnd"/>
      <w:r w:rsidR="002A1FD8">
        <w:t xml:space="preserve">, </w:t>
      </w:r>
      <w:r w:rsidR="002A1FD8" w:rsidRPr="003440CA">
        <w:rPr>
          <w:u w:val="single"/>
        </w:rPr>
        <w:t>The Comanche Empire</w:t>
      </w:r>
    </w:p>
    <w:p w:rsidR="002A1FD8" w:rsidRDefault="002A1FD8" w:rsidP="002A1FD8">
      <w:pPr>
        <w:pStyle w:val="NoSpacing"/>
        <w:tabs>
          <w:tab w:val="left" w:pos="1080"/>
        </w:tabs>
        <w:ind w:left="1080" w:hanging="1080"/>
      </w:pPr>
    </w:p>
    <w:p w:rsidR="003440CA" w:rsidRDefault="003440CA" w:rsidP="002A1FD8">
      <w:pPr>
        <w:pStyle w:val="NoSpacing"/>
        <w:tabs>
          <w:tab w:val="left" w:pos="1080"/>
        </w:tabs>
        <w:ind w:left="1080" w:hanging="1080"/>
      </w:pPr>
      <w:r>
        <w:t>IX.</w:t>
      </w:r>
      <w:r>
        <w:tab/>
      </w:r>
      <w:r w:rsidRPr="003440CA">
        <w:rPr>
          <w:u w:val="single"/>
        </w:rPr>
        <w:t>The Chinese Civil War</w:t>
      </w:r>
    </w:p>
    <w:p w:rsidR="002A1FD8" w:rsidRDefault="003440CA" w:rsidP="002A1FD8">
      <w:pPr>
        <w:pStyle w:val="NoSpacing"/>
        <w:tabs>
          <w:tab w:val="left" w:pos="1080"/>
        </w:tabs>
        <w:ind w:left="1080" w:hanging="1080"/>
      </w:pPr>
      <w:r>
        <w:tab/>
      </w:r>
      <w:r w:rsidR="002A1FD8">
        <w:t xml:space="preserve">Andrei Malraux, </w:t>
      </w:r>
      <w:r w:rsidR="002A1FD8" w:rsidRPr="003440CA">
        <w:rPr>
          <w:u w:val="single"/>
        </w:rPr>
        <w:t>Man’s Fate</w:t>
      </w:r>
    </w:p>
    <w:p w:rsidR="002A1FD8" w:rsidRDefault="002A1FD8" w:rsidP="002A1FD8">
      <w:pPr>
        <w:pStyle w:val="NoSpacing"/>
        <w:tabs>
          <w:tab w:val="left" w:pos="1080"/>
        </w:tabs>
        <w:ind w:left="1080" w:hanging="1080"/>
      </w:pPr>
    </w:p>
    <w:p w:rsidR="003440CA" w:rsidRDefault="002A1FD8" w:rsidP="002A1FD8">
      <w:pPr>
        <w:pStyle w:val="NoSpacing"/>
        <w:tabs>
          <w:tab w:val="left" w:pos="1080"/>
        </w:tabs>
        <w:ind w:left="1080" w:hanging="1080"/>
      </w:pPr>
      <w:r>
        <w:t>X.</w:t>
      </w:r>
      <w:r>
        <w:tab/>
      </w:r>
      <w:r w:rsidR="003440CA">
        <w:rPr>
          <w:u w:val="single"/>
        </w:rPr>
        <w:t>World War I</w:t>
      </w:r>
      <w:r w:rsidR="001D4940">
        <w:rPr>
          <w:u w:val="single"/>
        </w:rPr>
        <w:t>I</w:t>
      </w:r>
      <w:r>
        <w:t xml:space="preserve"> </w:t>
      </w:r>
    </w:p>
    <w:p w:rsidR="002A1FD8" w:rsidRDefault="003440CA" w:rsidP="002A1FD8">
      <w:pPr>
        <w:pStyle w:val="NoSpacing"/>
        <w:tabs>
          <w:tab w:val="left" w:pos="1080"/>
        </w:tabs>
        <w:ind w:left="1080" w:hanging="1080"/>
      </w:pPr>
      <w:r>
        <w:tab/>
        <w:t>J.G. Ballard</w:t>
      </w:r>
      <w:r w:rsidR="001D4940">
        <w:t xml:space="preserve">, </w:t>
      </w:r>
      <w:r w:rsidR="001D4940" w:rsidRPr="001D4940">
        <w:rPr>
          <w:u w:val="single"/>
        </w:rPr>
        <w:t>Empire of the Sun</w:t>
      </w:r>
    </w:p>
    <w:p w:rsidR="002A1FD8" w:rsidRDefault="002A1FD8" w:rsidP="002A1FD8">
      <w:pPr>
        <w:pStyle w:val="NoSpacing"/>
        <w:tabs>
          <w:tab w:val="left" w:pos="1080"/>
        </w:tabs>
        <w:ind w:left="1080" w:hanging="1080"/>
      </w:pPr>
    </w:p>
    <w:p w:rsidR="003440CA" w:rsidRDefault="002A1FD8" w:rsidP="002A1FD8">
      <w:pPr>
        <w:pStyle w:val="NoSpacing"/>
        <w:tabs>
          <w:tab w:val="left" w:pos="1080"/>
        </w:tabs>
        <w:ind w:left="1080" w:hanging="1080"/>
        <w:rPr>
          <w:u w:val="single"/>
        </w:rPr>
      </w:pPr>
      <w:r>
        <w:t>XI.</w:t>
      </w:r>
      <w:r>
        <w:tab/>
      </w:r>
      <w:r w:rsidRPr="003440CA">
        <w:rPr>
          <w:u w:val="single"/>
        </w:rPr>
        <w:t>The Arab-Israeli Conflict</w:t>
      </w:r>
    </w:p>
    <w:p w:rsidR="002A1FD8" w:rsidRDefault="003440CA" w:rsidP="002A1FD8">
      <w:pPr>
        <w:pStyle w:val="NoSpacing"/>
        <w:tabs>
          <w:tab w:val="left" w:pos="1080"/>
        </w:tabs>
        <w:ind w:left="1080" w:hanging="1080"/>
      </w:pPr>
      <w:r>
        <w:tab/>
      </w:r>
      <w:r w:rsidR="002A1FD8">
        <w:t xml:space="preserve">Muriel Spark, </w:t>
      </w:r>
      <w:r w:rsidR="002A1FD8" w:rsidRPr="003440CA">
        <w:rPr>
          <w:u w:val="single"/>
        </w:rPr>
        <w:t>The Mandelbaum Gate</w:t>
      </w:r>
    </w:p>
    <w:p w:rsidR="002A1FD8" w:rsidRDefault="002A1FD8" w:rsidP="002A1FD8">
      <w:pPr>
        <w:pStyle w:val="NoSpacing"/>
        <w:tabs>
          <w:tab w:val="left" w:pos="1080"/>
        </w:tabs>
        <w:ind w:left="1080" w:hanging="1080"/>
      </w:pPr>
    </w:p>
    <w:p w:rsidR="003440CA" w:rsidRDefault="002A1FD8" w:rsidP="002A1FD8">
      <w:pPr>
        <w:pStyle w:val="NoSpacing"/>
        <w:tabs>
          <w:tab w:val="left" w:pos="1080"/>
        </w:tabs>
        <w:ind w:left="1080" w:hanging="1080"/>
        <w:rPr>
          <w:u w:val="single"/>
        </w:rPr>
      </w:pPr>
      <w:r>
        <w:t>XII.</w:t>
      </w:r>
      <w:r>
        <w:tab/>
      </w:r>
      <w:r w:rsidRPr="003440CA">
        <w:rPr>
          <w:u w:val="single"/>
        </w:rPr>
        <w:t>The Vietnam War</w:t>
      </w:r>
    </w:p>
    <w:p w:rsidR="002A1FD8" w:rsidRDefault="003440CA" w:rsidP="002A1FD8">
      <w:pPr>
        <w:pStyle w:val="NoSpacing"/>
        <w:tabs>
          <w:tab w:val="left" w:pos="1080"/>
        </w:tabs>
        <w:ind w:left="1080" w:hanging="1080"/>
      </w:pPr>
      <w:r>
        <w:tab/>
      </w:r>
      <w:r w:rsidR="002A1FD8">
        <w:t>Charles Hill, “Fighting Stories”; “On Ken Burns</w:t>
      </w:r>
      <w:r w:rsidR="00F67DF8">
        <w:t>’</w:t>
      </w:r>
      <w:r w:rsidR="002A1FD8">
        <w:t xml:space="preserve"> </w:t>
      </w:r>
      <w:proofErr w:type="gramStart"/>
      <w:r w:rsidR="002A1FD8" w:rsidRPr="003440CA">
        <w:rPr>
          <w:u w:val="single"/>
        </w:rPr>
        <w:t>The</w:t>
      </w:r>
      <w:proofErr w:type="gramEnd"/>
      <w:r w:rsidR="002A1FD8" w:rsidRPr="003440CA">
        <w:rPr>
          <w:u w:val="single"/>
        </w:rPr>
        <w:t xml:space="preserve"> Vietnam War</w:t>
      </w:r>
      <w:r w:rsidR="002A1FD8">
        <w:t>”</w:t>
      </w:r>
    </w:p>
    <w:p w:rsidR="002A1FD8" w:rsidRDefault="002A1FD8" w:rsidP="002A1FD8">
      <w:pPr>
        <w:pStyle w:val="NoSpacing"/>
        <w:tabs>
          <w:tab w:val="left" w:pos="1080"/>
        </w:tabs>
        <w:ind w:left="1080" w:hanging="1080"/>
      </w:pPr>
    </w:p>
    <w:p w:rsidR="002A1FD8" w:rsidRDefault="002A1FD8" w:rsidP="002A1FD8">
      <w:pPr>
        <w:pStyle w:val="NoSpacing"/>
        <w:tabs>
          <w:tab w:val="left" w:pos="1080"/>
        </w:tabs>
        <w:ind w:left="1080" w:hanging="1080"/>
      </w:pPr>
      <w:r>
        <w:t>XIII.</w:t>
      </w:r>
      <w:r>
        <w:tab/>
        <w:t>Richard Wilbur, “Round About a Poem of Housman’s” The National Mall, Washington, D.C.</w:t>
      </w:r>
    </w:p>
    <w:p w:rsidR="00D41EE8" w:rsidRPr="00CA6DE7" w:rsidRDefault="00FC2E36" w:rsidP="00CA6DE7">
      <w:pPr>
        <w:pStyle w:val="NoSpacing"/>
        <w:jc w:val="center"/>
        <w:rPr>
          <w:b/>
          <w:smallCaps/>
          <w:sz w:val="24"/>
        </w:rPr>
      </w:pPr>
      <w:r w:rsidRPr="00CA6DE7">
        <w:rPr>
          <w:b/>
          <w:smallCaps/>
          <w:sz w:val="24"/>
        </w:rPr>
        <w:br w:type="page"/>
      </w:r>
      <w:r w:rsidR="00D41EE8" w:rsidRPr="00CA6DE7">
        <w:rPr>
          <w:b/>
          <w:smallCaps/>
          <w:sz w:val="24"/>
        </w:rPr>
        <w:lastRenderedPageBreak/>
        <w:t>War and its Literature</w:t>
      </w:r>
    </w:p>
    <w:p w:rsidR="00D41EE8" w:rsidRPr="00EA7D81" w:rsidRDefault="00D41EE8" w:rsidP="00CA6DE7">
      <w:pPr>
        <w:pStyle w:val="NoSpacing"/>
        <w:jc w:val="center"/>
      </w:pPr>
      <w:r w:rsidRPr="00EA7D81">
        <w:t>Required Books</w:t>
      </w:r>
    </w:p>
    <w:p w:rsidR="00D41EE8" w:rsidRDefault="00D41EE8" w:rsidP="00D41EE8">
      <w:pPr>
        <w:pStyle w:val="NoSpacing"/>
        <w:rPr>
          <w:sz w:val="24"/>
          <w:u w:val="single"/>
        </w:rPr>
      </w:pPr>
    </w:p>
    <w:p w:rsidR="00D41EE8" w:rsidRDefault="00D41EE8" w:rsidP="00D41EE8">
      <w:pPr>
        <w:pStyle w:val="NoSpacing"/>
        <w:rPr>
          <w:sz w:val="24"/>
          <w:u w:val="single"/>
        </w:rPr>
      </w:pPr>
    </w:p>
    <w:p w:rsidR="00D41EE8" w:rsidRDefault="00D41EE8" w:rsidP="00D41EE8">
      <w:pPr>
        <w:pStyle w:val="NoSpacing"/>
        <w:numPr>
          <w:ilvl w:val="0"/>
          <w:numId w:val="3"/>
        </w:numPr>
        <w:rPr>
          <w:sz w:val="24"/>
        </w:rPr>
      </w:pPr>
      <w:r>
        <w:rPr>
          <w:sz w:val="24"/>
        </w:rPr>
        <w:t xml:space="preserve">George Bernard Shaw, </w:t>
      </w:r>
      <w:r w:rsidRPr="003F58CC">
        <w:rPr>
          <w:sz w:val="24"/>
          <w:u w:val="single"/>
        </w:rPr>
        <w:t>Saint Joan</w:t>
      </w:r>
      <w:r>
        <w:rPr>
          <w:sz w:val="24"/>
        </w:rPr>
        <w:t>.  Penguin Classics, 2003 (1924).</w:t>
      </w:r>
    </w:p>
    <w:p w:rsidR="00D41EE8" w:rsidRDefault="00D41EE8" w:rsidP="00D41EE8">
      <w:pPr>
        <w:pStyle w:val="NoSpacing"/>
        <w:ind w:left="720" w:firstLine="720"/>
        <w:rPr>
          <w:sz w:val="24"/>
        </w:rPr>
      </w:pPr>
      <w:r>
        <w:rPr>
          <w:sz w:val="24"/>
        </w:rPr>
        <w:t>ISBN:  13: 978-0-140-43791-1</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Douglas Edward Leach, </w:t>
      </w:r>
      <w:r w:rsidRPr="003F58CC">
        <w:rPr>
          <w:sz w:val="24"/>
          <w:u w:val="single"/>
        </w:rPr>
        <w:t>Flintlock and Tomahawk:  New England in King Philip’s War</w:t>
      </w:r>
      <w:r>
        <w:rPr>
          <w:sz w:val="24"/>
        </w:rPr>
        <w:t>.  Countryman Press, 2009.</w:t>
      </w:r>
    </w:p>
    <w:p w:rsidR="00D41EE8" w:rsidRDefault="00D41EE8" w:rsidP="00D41EE8">
      <w:pPr>
        <w:pStyle w:val="NoSpacing"/>
        <w:ind w:left="720" w:firstLine="720"/>
        <w:rPr>
          <w:sz w:val="24"/>
        </w:rPr>
      </w:pPr>
      <w:r>
        <w:rPr>
          <w:sz w:val="24"/>
        </w:rPr>
        <w:t>ISBN:  13: 978-0-88150-8857</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Robert Graves, </w:t>
      </w:r>
      <w:r w:rsidRPr="003F58CC">
        <w:rPr>
          <w:sz w:val="24"/>
          <w:u w:val="single"/>
        </w:rPr>
        <w:t>Sergeant Lamb’s America</w:t>
      </w:r>
      <w:r>
        <w:rPr>
          <w:sz w:val="24"/>
        </w:rPr>
        <w:t>. Academy Chicago, 1995 (1940).</w:t>
      </w:r>
    </w:p>
    <w:p w:rsidR="00D41EE8" w:rsidRDefault="00D41EE8" w:rsidP="00D41EE8">
      <w:pPr>
        <w:pStyle w:val="NoSpacing"/>
        <w:ind w:left="720" w:firstLine="720"/>
        <w:rPr>
          <w:sz w:val="24"/>
        </w:rPr>
      </w:pPr>
      <w:r>
        <w:rPr>
          <w:sz w:val="24"/>
        </w:rPr>
        <w:t>ISBN:  0-89733-213-X</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Tom Carhart, </w:t>
      </w:r>
      <w:r w:rsidRPr="003F58CC">
        <w:rPr>
          <w:sz w:val="24"/>
          <w:u w:val="single"/>
        </w:rPr>
        <w:t>Lost Triumph:  Lee’s Real Plan at Gettysburg</w:t>
      </w:r>
      <w:r>
        <w:rPr>
          <w:sz w:val="24"/>
        </w:rPr>
        <w:t>.  Berkeley, 2006.</w:t>
      </w:r>
    </w:p>
    <w:p w:rsidR="00D41EE8" w:rsidRDefault="00D41EE8" w:rsidP="00D41EE8">
      <w:pPr>
        <w:pStyle w:val="NoSpacing"/>
        <w:ind w:left="720" w:firstLine="720"/>
        <w:rPr>
          <w:sz w:val="24"/>
        </w:rPr>
      </w:pPr>
      <w:r>
        <w:rPr>
          <w:sz w:val="24"/>
        </w:rPr>
        <w:t>ISBN:  0-399-15249-0</w:t>
      </w:r>
    </w:p>
    <w:p w:rsidR="00D41EE8" w:rsidRDefault="00D41EE8" w:rsidP="00D41EE8">
      <w:pPr>
        <w:pStyle w:val="NoSpacing"/>
        <w:rPr>
          <w:sz w:val="24"/>
        </w:rPr>
      </w:pPr>
    </w:p>
    <w:p w:rsidR="00D41EE8" w:rsidRDefault="00D41EE8" w:rsidP="00D41EE8">
      <w:pPr>
        <w:pStyle w:val="NoSpacing"/>
        <w:numPr>
          <w:ilvl w:val="0"/>
          <w:numId w:val="3"/>
        </w:numPr>
        <w:rPr>
          <w:sz w:val="24"/>
        </w:rPr>
      </w:pPr>
      <w:proofErr w:type="spellStart"/>
      <w:r>
        <w:rPr>
          <w:sz w:val="24"/>
        </w:rPr>
        <w:t>Pekka</w:t>
      </w:r>
      <w:proofErr w:type="spellEnd"/>
      <w:r>
        <w:rPr>
          <w:sz w:val="24"/>
        </w:rPr>
        <w:t xml:space="preserve"> </w:t>
      </w:r>
      <w:proofErr w:type="spellStart"/>
      <w:r>
        <w:rPr>
          <w:sz w:val="24"/>
        </w:rPr>
        <w:t>H</w:t>
      </w:r>
      <w:r>
        <w:rPr>
          <w:rFonts w:cstheme="minorHAnsi"/>
          <w:sz w:val="24"/>
        </w:rPr>
        <w:t>ä</w:t>
      </w:r>
      <w:r>
        <w:rPr>
          <w:sz w:val="24"/>
        </w:rPr>
        <w:t>m</w:t>
      </w:r>
      <w:r>
        <w:rPr>
          <w:rFonts w:cstheme="minorHAnsi"/>
          <w:sz w:val="24"/>
        </w:rPr>
        <w:t>ä</w:t>
      </w:r>
      <w:r>
        <w:rPr>
          <w:sz w:val="24"/>
        </w:rPr>
        <w:t>l</w:t>
      </w:r>
      <w:r>
        <w:rPr>
          <w:rFonts w:cstheme="minorHAnsi"/>
          <w:sz w:val="24"/>
        </w:rPr>
        <w:t>ä</w:t>
      </w:r>
      <w:r>
        <w:rPr>
          <w:sz w:val="24"/>
        </w:rPr>
        <w:t>inen</w:t>
      </w:r>
      <w:proofErr w:type="spellEnd"/>
      <w:r>
        <w:rPr>
          <w:sz w:val="24"/>
        </w:rPr>
        <w:t xml:space="preserve">, </w:t>
      </w:r>
      <w:r w:rsidRPr="003F58CC">
        <w:rPr>
          <w:sz w:val="24"/>
          <w:u w:val="single"/>
        </w:rPr>
        <w:t>The Comanche Empire</w:t>
      </w:r>
      <w:r>
        <w:rPr>
          <w:sz w:val="24"/>
        </w:rPr>
        <w:t>.  Yale University Press, 2008.</w:t>
      </w:r>
    </w:p>
    <w:p w:rsidR="00D41EE8" w:rsidRDefault="00D41EE8" w:rsidP="00D41EE8">
      <w:pPr>
        <w:pStyle w:val="NoSpacing"/>
        <w:ind w:left="720" w:firstLine="720"/>
        <w:rPr>
          <w:sz w:val="24"/>
        </w:rPr>
      </w:pPr>
      <w:r>
        <w:rPr>
          <w:sz w:val="24"/>
        </w:rPr>
        <w:t>ISBN:  978-0-300-15117-6</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Andrei Malraux, </w:t>
      </w:r>
      <w:r w:rsidRPr="003F58CC">
        <w:rPr>
          <w:sz w:val="24"/>
          <w:u w:val="single"/>
        </w:rPr>
        <w:t>Man’s Fate</w:t>
      </w:r>
      <w:r>
        <w:rPr>
          <w:sz w:val="24"/>
        </w:rPr>
        <w:t>.  Penguin Classics, 2009 (1924).</w:t>
      </w:r>
    </w:p>
    <w:p w:rsidR="00D41EE8" w:rsidRDefault="00D41EE8" w:rsidP="00D41EE8">
      <w:pPr>
        <w:pStyle w:val="NoSpacing"/>
        <w:ind w:left="720" w:firstLine="720"/>
        <w:rPr>
          <w:sz w:val="24"/>
        </w:rPr>
      </w:pPr>
      <w:r>
        <w:rPr>
          <w:sz w:val="24"/>
        </w:rPr>
        <w:t>ISBN:  13: 978-0-14119098-3</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J.G. Ballard, </w:t>
      </w:r>
      <w:r w:rsidRPr="003F58CC">
        <w:rPr>
          <w:sz w:val="24"/>
          <w:u w:val="single"/>
        </w:rPr>
        <w:t>Empire of the Sun</w:t>
      </w:r>
      <w:r>
        <w:rPr>
          <w:sz w:val="24"/>
        </w:rPr>
        <w:t>.  Pocket Books, Washington Square, 1984.</w:t>
      </w:r>
    </w:p>
    <w:p w:rsidR="00D41EE8" w:rsidRDefault="00D41EE8" w:rsidP="00D41EE8">
      <w:pPr>
        <w:pStyle w:val="NoSpacing"/>
        <w:ind w:left="720" w:firstLine="720"/>
        <w:rPr>
          <w:sz w:val="24"/>
        </w:rPr>
      </w:pPr>
      <w:r>
        <w:rPr>
          <w:sz w:val="24"/>
        </w:rPr>
        <w:t>ISBN:  0-671-53053-4</w:t>
      </w:r>
    </w:p>
    <w:p w:rsidR="00D41EE8" w:rsidRDefault="00D41EE8" w:rsidP="00D41EE8">
      <w:pPr>
        <w:pStyle w:val="NoSpacing"/>
        <w:rPr>
          <w:sz w:val="24"/>
        </w:rPr>
      </w:pPr>
    </w:p>
    <w:p w:rsidR="00D41EE8" w:rsidRDefault="00D41EE8" w:rsidP="00D41EE8">
      <w:pPr>
        <w:pStyle w:val="NoSpacing"/>
        <w:numPr>
          <w:ilvl w:val="0"/>
          <w:numId w:val="3"/>
        </w:numPr>
        <w:rPr>
          <w:sz w:val="24"/>
        </w:rPr>
      </w:pPr>
      <w:r>
        <w:rPr>
          <w:sz w:val="24"/>
        </w:rPr>
        <w:t xml:space="preserve">Muriel Spark, </w:t>
      </w:r>
      <w:r w:rsidRPr="003F58CC">
        <w:rPr>
          <w:sz w:val="24"/>
          <w:u w:val="single"/>
        </w:rPr>
        <w:t>The Mandelbaum Gate</w:t>
      </w:r>
      <w:r>
        <w:rPr>
          <w:sz w:val="24"/>
        </w:rPr>
        <w:t>, Virago Press, 2013.</w:t>
      </w:r>
    </w:p>
    <w:p w:rsidR="00D41EE8" w:rsidRPr="00EA7D81" w:rsidRDefault="00D41EE8" w:rsidP="00D41EE8">
      <w:pPr>
        <w:pStyle w:val="NoSpacing"/>
        <w:ind w:left="720" w:firstLine="720"/>
        <w:rPr>
          <w:sz w:val="24"/>
          <w:u w:val="single"/>
        </w:rPr>
      </w:pPr>
      <w:r>
        <w:rPr>
          <w:sz w:val="24"/>
        </w:rPr>
        <w:t>ISBN:  13: 978-1844-0-8966-6</w:t>
      </w:r>
    </w:p>
    <w:p w:rsidR="00D41EE8" w:rsidRDefault="00D41EE8">
      <w:pPr>
        <w:rPr>
          <w:rFonts w:ascii="Times New Roman" w:hAnsi="Times New Roman" w:cs="Times New Roman"/>
        </w:rPr>
      </w:pPr>
    </w:p>
    <w:p w:rsidR="00D41EE8" w:rsidRPr="00CA6DE7" w:rsidRDefault="00D41EE8" w:rsidP="00F67DF8">
      <w:pPr>
        <w:pStyle w:val="NoSpacing"/>
        <w:jc w:val="center"/>
        <w:rPr>
          <w:b/>
          <w:smallCaps/>
          <w:sz w:val="24"/>
        </w:rPr>
      </w:pPr>
      <w:r>
        <w:rPr>
          <w:rFonts w:ascii="Times New Roman" w:hAnsi="Times New Roman" w:cs="Times New Roman"/>
        </w:rPr>
        <w:br w:type="page"/>
      </w:r>
      <w:r w:rsidR="00F67DF8" w:rsidRPr="00CA6DE7">
        <w:rPr>
          <w:b/>
          <w:smallCaps/>
          <w:sz w:val="24"/>
        </w:rPr>
        <w:lastRenderedPageBreak/>
        <w:t>War and its Literature</w:t>
      </w:r>
    </w:p>
    <w:p w:rsidR="00F67DF8" w:rsidRDefault="00F67DF8" w:rsidP="00F67DF8">
      <w:pPr>
        <w:pStyle w:val="NoSpacing"/>
        <w:jc w:val="center"/>
        <w:rPr>
          <w:sz w:val="24"/>
        </w:rPr>
      </w:pPr>
      <w:r w:rsidRPr="00F67DF8">
        <w:rPr>
          <w:sz w:val="24"/>
        </w:rPr>
        <w:t>Course Reader Contents</w:t>
      </w:r>
    </w:p>
    <w:p w:rsidR="00F67DF8" w:rsidRDefault="00F67DF8" w:rsidP="00F67DF8">
      <w:pPr>
        <w:pStyle w:val="NoSpacing"/>
        <w:jc w:val="center"/>
        <w:rPr>
          <w:sz w:val="24"/>
        </w:rPr>
      </w:pPr>
    </w:p>
    <w:p w:rsidR="00F67DF8" w:rsidRDefault="00F67DF8" w:rsidP="00F67DF8">
      <w:pPr>
        <w:pStyle w:val="NoSpacing"/>
        <w:numPr>
          <w:ilvl w:val="0"/>
          <w:numId w:val="3"/>
        </w:numPr>
        <w:rPr>
          <w:sz w:val="24"/>
        </w:rPr>
      </w:pPr>
      <w:r>
        <w:rPr>
          <w:sz w:val="24"/>
        </w:rPr>
        <w:t>Simone Weil, “</w:t>
      </w:r>
      <w:r w:rsidRPr="00F67DF8">
        <w:rPr>
          <w:sz w:val="24"/>
          <w:u w:val="single"/>
        </w:rPr>
        <w:t>The Iliad</w:t>
      </w:r>
      <w:r>
        <w:rPr>
          <w:sz w:val="24"/>
        </w:rPr>
        <w:t xml:space="preserve"> on the Poem of Force”</w:t>
      </w:r>
    </w:p>
    <w:p w:rsidR="00F67DF8" w:rsidRDefault="00F67DF8" w:rsidP="00F67DF8">
      <w:pPr>
        <w:pStyle w:val="NoSpacing"/>
        <w:numPr>
          <w:ilvl w:val="0"/>
          <w:numId w:val="3"/>
        </w:numPr>
        <w:rPr>
          <w:sz w:val="24"/>
        </w:rPr>
      </w:pPr>
      <w:r>
        <w:rPr>
          <w:sz w:val="24"/>
        </w:rPr>
        <w:t>Byron, “The Isles of Greece”</w:t>
      </w:r>
    </w:p>
    <w:p w:rsidR="00F67DF8" w:rsidRDefault="00F67DF8" w:rsidP="00F67DF8">
      <w:pPr>
        <w:pStyle w:val="NoSpacing"/>
        <w:numPr>
          <w:ilvl w:val="0"/>
          <w:numId w:val="3"/>
        </w:numPr>
        <w:rPr>
          <w:sz w:val="24"/>
        </w:rPr>
      </w:pPr>
      <w:r>
        <w:rPr>
          <w:sz w:val="24"/>
        </w:rPr>
        <w:t xml:space="preserve">Mary Renault, </w:t>
      </w:r>
      <w:r w:rsidRPr="00F67DF8">
        <w:rPr>
          <w:sz w:val="24"/>
          <w:u w:val="single"/>
        </w:rPr>
        <w:t>The Last of the Wine</w:t>
      </w:r>
    </w:p>
    <w:p w:rsidR="00F67DF8" w:rsidRDefault="00F67DF8" w:rsidP="00F67DF8">
      <w:pPr>
        <w:pStyle w:val="NoSpacing"/>
        <w:numPr>
          <w:ilvl w:val="0"/>
          <w:numId w:val="3"/>
        </w:numPr>
        <w:rPr>
          <w:sz w:val="24"/>
        </w:rPr>
      </w:pPr>
      <w:r>
        <w:rPr>
          <w:sz w:val="24"/>
        </w:rPr>
        <w:t xml:space="preserve">Xenophon, </w:t>
      </w:r>
      <w:r w:rsidRPr="00F67DF8">
        <w:rPr>
          <w:sz w:val="24"/>
          <w:u w:val="single"/>
        </w:rPr>
        <w:t>The Persian Expedition</w:t>
      </w:r>
      <w:r>
        <w:rPr>
          <w:sz w:val="24"/>
        </w:rPr>
        <w:t xml:space="preserve"> (The March Up Country)</w:t>
      </w:r>
    </w:p>
    <w:p w:rsidR="00F67DF8" w:rsidRDefault="00F67DF8" w:rsidP="00F67DF8">
      <w:pPr>
        <w:pStyle w:val="NoSpacing"/>
        <w:numPr>
          <w:ilvl w:val="0"/>
          <w:numId w:val="3"/>
        </w:numPr>
        <w:rPr>
          <w:sz w:val="24"/>
        </w:rPr>
      </w:pPr>
      <w:r>
        <w:rPr>
          <w:sz w:val="24"/>
        </w:rPr>
        <w:t xml:space="preserve">Richard Adams,  </w:t>
      </w:r>
      <w:proofErr w:type="spellStart"/>
      <w:r w:rsidRPr="00F67DF8">
        <w:rPr>
          <w:sz w:val="24"/>
          <w:u w:val="single"/>
        </w:rPr>
        <w:t>Watership</w:t>
      </w:r>
      <w:proofErr w:type="spellEnd"/>
      <w:r w:rsidRPr="00F67DF8">
        <w:rPr>
          <w:sz w:val="24"/>
          <w:u w:val="single"/>
        </w:rPr>
        <w:t xml:space="preserve"> Down</w:t>
      </w:r>
    </w:p>
    <w:p w:rsidR="00F67DF8" w:rsidRDefault="00F67DF8" w:rsidP="00F67DF8">
      <w:pPr>
        <w:pStyle w:val="NoSpacing"/>
        <w:numPr>
          <w:ilvl w:val="0"/>
          <w:numId w:val="3"/>
        </w:numPr>
        <w:rPr>
          <w:sz w:val="24"/>
        </w:rPr>
      </w:pPr>
      <w:r>
        <w:rPr>
          <w:sz w:val="24"/>
        </w:rPr>
        <w:t xml:space="preserve">Polybius: </w:t>
      </w:r>
      <w:proofErr w:type="spellStart"/>
      <w:r>
        <w:rPr>
          <w:sz w:val="24"/>
        </w:rPr>
        <w:t>Fabius</w:t>
      </w:r>
      <w:proofErr w:type="spellEnd"/>
      <w:r>
        <w:rPr>
          <w:sz w:val="24"/>
        </w:rPr>
        <w:t xml:space="preserve"> Maximus; The Camp; The Password</w:t>
      </w:r>
    </w:p>
    <w:p w:rsidR="00F67DF8" w:rsidRDefault="00F67DF8" w:rsidP="00F67DF8">
      <w:pPr>
        <w:pStyle w:val="NoSpacing"/>
        <w:numPr>
          <w:ilvl w:val="0"/>
          <w:numId w:val="3"/>
        </w:numPr>
        <w:rPr>
          <w:sz w:val="24"/>
        </w:rPr>
      </w:pPr>
      <w:r>
        <w:rPr>
          <w:sz w:val="24"/>
        </w:rPr>
        <w:t>Plutarch, “The Death of Caesar”</w:t>
      </w:r>
    </w:p>
    <w:p w:rsidR="00F67DF8" w:rsidRDefault="00F67DF8" w:rsidP="00F67DF8">
      <w:pPr>
        <w:pStyle w:val="NoSpacing"/>
        <w:numPr>
          <w:ilvl w:val="0"/>
          <w:numId w:val="3"/>
        </w:numPr>
        <w:rPr>
          <w:sz w:val="24"/>
        </w:rPr>
      </w:pPr>
      <w:r w:rsidRPr="00F67DF8">
        <w:rPr>
          <w:sz w:val="24"/>
          <w:u w:val="single"/>
        </w:rPr>
        <w:t>King Lear</w:t>
      </w:r>
      <w:r>
        <w:rPr>
          <w:sz w:val="24"/>
        </w:rPr>
        <w:t>, Act I, Scene I</w:t>
      </w:r>
    </w:p>
    <w:p w:rsidR="00F67DF8" w:rsidRDefault="00F67DF8" w:rsidP="00F67DF8">
      <w:pPr>
        <w:pStyle w:val="NoSpacing"/>
        <w:numPr>
          <w:ilvl w:val="0"/>
          <w:numId w:val="3"/>
        </w:numPr>
        <w:rPr>
          <w:sz w:val="24"/>
        </w:rPr>
      </w:pPr>
      <w:r>
        <w:rPr>
          <w:sz w:val="24"/>
        </w:rPr>
        <w:t xml:space="preserve">Lisa Brooks, </w:t>
      </w:r>
      <w:r w:rsidRPr="0001342E">
        <w:rPr>
          <w:sz w:val="24"/>
          <w:u w:val="single"/>
        </w:rPr>
        <w:t>A New History of King Philip’s War</w:t>
      </w:r>
    </w:p>
    <w:p w:rsidR="00F67DF8" w:rsidRDefault="00F67DF8" w:rsidP="00F67DF8">
      <w:pPr>
        <w:pStyle w:val="NoSpacing"/>
        <w:numPr>
          <w:ilvl w:val="0"/>
          <w:numId w:val="3"/>
        </w:numPr>
        <w:rPr>
          <w:sz w:val="24"/>
        </w:rPr>
      </w:pPr>
      <w:proofErr w:type="spellStart"/>
      <w:r>
        <w:rPr>
          <w:sz w:val="24"/>
        </w:rPr>
        <w:t>Gustavus</w:t>
      </w:r>
      <w:proofErr w:type="spellEnd"/>
      <w:r>
        <w:rPr>
          <w:sz w:val="24"/>
        </w:rPr>
        <w:t xml:space="preserve"> Adolphus, “The Beginning of the Thirty Years’ War”</w:t>
      </w:r>
    </w:p>
    <w:p w:rsidR="00F67DF8" w:rsidRDefault="00F67DF8" w:rsidP="00F67DF8">
      <w:pPr>
        <w:pStyle w:val="NoSpacing"/>
        <w:numPr>
          <w:ilvl w:val="0"/>
          <w:numId w:val="3"/>
        </w:numPr>
        <w:rPr>
          <w:sz w:val="24"/>
        </w:rPr>
      </w:pPr>
      <w:r>
        <w:rPr>
          <w:sz w:val="24"/>
        </w:rPr>
        <w:t xml:space="preserve">Grotius, </w:t>
      </w:r>
      <w:r w:rsidRPr="0001342E">
        <w:rPr>
          <w:sz w:val="24"/>
          <w:u w:val="single"/>
        </w:rPr>
        <w:t>The Law of War and Peace</w:t>
      </w:r>
    </w:p>
    <w:p w:rsidR="00F67DF8" w:rsidRDefault="0001342E" w:rsidP="00F67DF8">
      <w:pPr>
        <w:pStyle w:val="NoSpacing"/>
        <w:numPr>
          <w:ilvl w:val="0"/>
          <w:numId w:val="3"/>
        </w:numPr>
        <w:rPr>
          <w:sz w:val="24"/>
        </w:rPr>
      </w:pPr>
      <w:r>
        <w:rPr>
          <w:sz w:val="24"/>
        </w:rPr>
        <w:t xml:space="preserve">Philip Fisher, on </w:t>
      </w:r>
      <w:r w:rsidRPr="0001342E">
        <w:rPr>
          <w:sz w:val="24"/>
          <w:u w:val="single"/>
        </w:rPr>
        <w:t>T</w:t>
      </w:r>
      <w:r w:rsidR="00F67DF8" w:rsidRPr="0001342E">
        <w:rPr>
          <w:sz w:val="24"/>
          <w:u w:val="single"/>
        </w:rPr>
        <w:t>he Leatherstocking Tales</w:t>
      </w:r>
    </w:p>
    <w:p w:rsidR="00F67DF8" w:rsidRDefault="00F67DF8" w:rsidP="00F67DF8">
      <w:pPr>
        <w:pStyle w:val="NoSpacing"/>
        <w:numPr>
          <w:ilvl w:val="0"/>
          <w:numId w:val="3"/>
        </w:numPr>
        <w:rPr>
          <w:sz w:val="24"/>
        </w:rPr>
      </w:pPr>
      <w:r>
        <w:rPr>
          <w:sz w:val="24"/>
        </w:rPr>
        <w:t xml:space="preserve">Sun Tzu, </w:t>
      </w:r>
      <w:r w:rsidRPr="0001342E">
        <w:rPr>
          <w:sz w:val="24"/>
          <w:u w:val="single"/>
        </w:rPr>
        <w:t>The Art of Warfare</w:t>
      </w:r>
      <w:r>
        <w:rPr>
          <w:sz w:val="24"/>
        </w:rPr>
        <w:t>:  Terrain and Ground</w:t>
      </w:r>
    </w:p>
    <w:p w:rsidR="00F67DF8" w:rsidRDefault="00F67DF8" w:rsidP="00F67DF8">
      <w:pPr>
        <w:pStyle w:val="NoSpacing"/>
        <w:numPr>
          <w:ilvl w:val="0"/>
          <w:numId w:val="3"/>
        </w:numPr>
        <w:rPr>
          <w:sz w:val="24"/>
        </w:rPr>
      </w:pPr>
      <w:r>
        <w:rPr>
          <w:sz w:val="24"/>
        </w:rPr>
        <w:t xml:space="preserve">James McPherson, </w:t>
      </w:r>
      <w:r w:rsidRPr="0001342E">
        <w:rPr>
          <w:sz w:val="24"/>
          <w:u w:val="single"/>
        </w:rPr>
        <w:t>Why the Civil War Still Matters</w:t>
      </w:r>
    </w:p>
    <w:p w:rsidR="00F67DF8" w:rsidRDefault="00F67DF8" w:rsidP="00F67DF8">
      <w:pPr>
        <w:pStyle w:val="NoSpacing"/>
        <w:numPr>
          <w:ilvl w:val="0"/>
          <w:numId w:val="3"/>
        </w:numPr>
        <w:rPr>
          <w:sz w:val="24"/>
        </w:rPr>
      </w:pPr>
      <w:r>
        <w:rPr>
          <w:sz w:val="24"/>
        </w:rPr>
        <w:t>William Faulkner, “For Every Southern Boy…”</w:t>
      </w:r>
    </w:p>
    <w:p w:rsidR="00F67DF8" w:rsidRDefault="00F67DF8" w:rsidP="00F67DF8">
      <w:pPr>
        <w:pStyle w:val="NoSpacing"/>
        <w:numPr>
          <w:ilvl w:val="0"/>
          <w:numId w:val="3"/>
        </w:numPr>
        <w:rPr>
          <w:sz w:val="24"/>
        </w:rPr>
      </w:pPr>
      <w:r>
        <w:rPr>
          <w:sz w:val="24"/>
        </w:rPr>
        <w:t>Richard Hillary, “The Invaders” (The Battle of Britain)</w:t>
      </w:r>
    </w:p>
    <w:p w:rsidR="00F67DF8" w:rsidRDefault="00F67DF8" w:rsidP="00F67DF8">
      <w:pPr>
        <w:pStyle w:val="NoSpacing"/>
        <w:numPr>
          <w:ilvl w:val="0"/>
          <w:numId w:val="3"/>
        </w:numPr>
        <w:rPr>
          <w:sz w:val="24"/>
        </w:rPr>
      </w:pPr>
      <w:r>
        <w:rPr>
          <w:sz w:val="24"/>
        </w:rPr>
        <w:t xml:space="preserve">Charles Hill, “Fighting Stories”; “On Ken Burns’ </w:t>
      </w:r>
      <w:r w:rsidRPr="0001342E">
        <w:rPr>
          <w:sz w:val="24"/>
          <w:u w:val="single"/>
        </w:rPr>
        <w:t>Vietnam War</w:t>
      </w:r>
      <w:r>
        <w:rPr>
          <w:sz w:val="24"/>
        </w:rPr>
        <w:t>”</w:t>
      </w:r>
    </w:p>
    <w:p w:rsidR="00F67DF8" w:rsidRPr="00F67DF8" w:rsidRDefault="00F67DF8" w:rsidP="00F67DF8">
      <w:pPr>
        <w:pStyle w:val="NoSpacing"/>
        <w:numPr>
          <w:ilvl w:val="0"/>
          <w:numId w:val="3"/>
        </w:numPr>
        <w:rPr>
          <w:sz w:val="24"/>
        </w:rPr>
      </w:pPr>
      <w:r>
        <w:rPr>
          <w:sz w:val="24"/>
        </w:rPr>
        <w:t>Richard Wilbur, “Round About a Poem of Housman’s”</w:t>
      </w:r>
    </w:p>
    <w:sectPr w:rsidR="00F67DF8" w:rsidRPr="00F67DF8" w:rsidSect="00CA6DE7">
      <w:headerReference w:type="default" r:id="rId8"/>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7A6" w:rsidRDefault="005237A6" w:rsidP="00FA1CE1">
      <w:pPr>
        <w:spacing w:after="0" w:line="240" w:lineRule="auto"/>
      </w:pPr>
      <w:r>
        <w:separator/>
      </w:r>
    </w:p>
  </w:endnote>
  <w:endnote w:type="continuationSeparator" w:id="0">
    <w:p w:rsidR="005237A6" w:rsidRDefault="005237A6" w:rsidP="00FA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7A6" w:rsidRDefault="005237A6" w:rsidP="00FA1CE1">
      <w:pPr>
        <w:spacing w:after="0" w:line="240" w:lineRule="auto"/>
      </w:pPr>
      <w:r>
        <w:separator/>
      </w:r>
    </w:p>
  </w:footnote>
  <w:footnote w:type="continuationSeparator" w:id="0">
    <w:p w:rsidR="005237A6" w:rsidRDefault="005237A6" w:rsidP="00FA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43203"/>
      <w:docPartObj>
        <w:docPartGallery w:val="Page Numbers (Top of Page)"/>
        <w:docPartUnique/>
      </w:docPartObj>
    </w:sdtPr>
    <w:sdtEndPr>
      <w:rPr>
        <w:color w:val="7F7F7F" w:themeColor="background1" w:themeShade="7F"/>
        <w:spacing w:val="60"/>
        <w:sz w:val="18"/>
      </w:rPr>
    </w:sdtEndPr>
    <w:sdtContent>
      <w:p w:rsidR="00FC2E36" w:rsidRDefault="0001342E" w:rsidP="0001342E">
        <w:pPr>
          <w:pStyle w:val="Header"/>
          <w:pBdr>
            <w:bottom w:val="single" w:sz="4" w:space="1" w:color="D9D9D9" w:themeColor="background1" w:themeShade="D9"/>
          </w:pBdr>
          <w:rPr>
            <w:b/>
            <w:smallCaps/>
          </w:rPr>
        </w:pPr>
        <w:r w:rsidRPr="0001342E">
          <w:rPr>
            <w:b/>
            <w:smallCaps/>
          </w:rPr>
          <w:t>Charles Hill</w:t>
        </w:r>
      </w:p>
      <w:p w:rsidR="00FA1CE1" w:rsidRPr="00FA1CE1" w:rsidRDefault="00FC2E36" w:rsidP="0001342E">
        <w:pPr>
          <w:pStyle w:val="Header"/>
          <w:pBdr>
            <w:bottom w:val="single" w:sz="4" w:space="1" w:color="D9D9D9" w:themeColor="background1" w:themeShade="D9"/>
          </w:pBdr>
          <w:rPr>
            <w:b/>
            <w:bCs/>
            <w:sz w:val="18"/>
          </w:rPr>
        </w:pPr>
        <w:r>
          <w:t>31 Hillhouse Avenue</w:t>
        </w:r>
        <w:r w:rsidR="0001342E">
          <w:tab/>
        </w:r>
        <w:r w:rsidR="0001342E">
          <w:tab/>
        </w:r>
        <w:r w:rsidR="00FA1CE1" w:rsidRPr="00FA1CE1">
          <w:rPr>
            <w:sz w:val="18"/>
          </w:rPr>
          <w:fldChar w:fldCharType="begin"/>
        </w:r>
        <w:r w:rsidR="00FA1CE1" w:rsidRPr="00FA1CE1">
          <w:rPr>
            <w:sz w:val="18"/>
          </w:rPr>
          <w:instrText xml:space="preserve"> PAGE   \* MERGEFORMAT </w:instrText>
        </w:r>
        <w:r w:rsidR="00FA1CE1" w:rsidRPr="00FA1CE1">
          <w:rPr>
            <w:sz w:val="18"/>
          </w:rPr>
          <w:fldChar w:fldCharType="separate"/>
        </w:r>
        <w:r w:rsidR="001D4940" w:rsidRPr="001D4940">
          <w:rPr>
            <w:b/>
            <w:bCs/>
            <w:noProof/>
            <w:sz w:val="18"/>
          </w:rPr>
          <w:t>4</w:t>
        </w:r>
        <w:r w:rsidR="00FA1CE1" w:rsidRPr="00FA1CE1">
          <w:rPr>
            <w:b/>
            <w:bCs/>
            <w:noProof/>
            <w:sz w:val="18"/>
          </w:rPr>
          <w:fldChar w:fldCharType="end"/>
        </w:r>
        <w:r w:rsidR="00FA1CE1" w:rsidRPr="00FA1CE1">
          <w:rPr>
            <w:b/>
            <w:bCs/>
            <w:sz w:val="18"/>
          </w:rPr>
          <w:t xml:space="preserve"> | </w:t>
        </w:r>
        <w:r w:rsidR="00FA1CE1" w:rsidRPr="00FA1CE1">
          <w:rPr>
            <w:color w:val="7F7F7F" w:themeColor="background1" w:themeShade="7F"/>
            <w:spacing w:val="60"/>
            <w:sz w:val="18"/>
          </w:rPr>
          <w:t>Page</w:t>
        </w:r>
      </w:p>
    </w:sdtContent>
  </w:sdt>
  <w:p w:rsidR="0001342E" w:rsidRDefault="00FC2E36" w:rsidP="0001342E">
    <w:pPr>
      <w:pStyle w:val="Header"/>
    </w:pPr>
    <w:r w:rsidRPr="0001342E">
      <w:t>charles.hill@yale.edu</w:t>
    </w:r>
    <w:r>
      <w:t xml:space="preserve"> </w:t>
    </w:r>
    <w:r>
      <w:tab/>
    </w:r>
    <w:r>
      <w:tab/>
    </w:r>
    <w:r w:rsidR="0001342E">
      <w:t>HUMS 318 - Syllabus</w:t>
    </w:r>
  </w:p>
  <w:p w:rsidR="00FA1CE1" w:rsidRDefault="0001342E" w:rsidP="0001342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386"/>
    <w:multiLevelType w:val="hybridMultilevel"/>
    <w:tmpl w:val="A3268F74"/>
    <w:lvl w:ilvl="0" w:tplc="F0F20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A2B66"/>
    <w:multiLevelType w:val="hybridMultilevel"/>
    <w:tmpl w:val="DEC60CC0"/>
    <w:lvl w:ilvl="0" w:tplc="54CEC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9621E"/>
    <w:multiLevelType w:val="hybridMultilevel"/>
    <w:tmpl w:val="24A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62823"/>
    <w:multiLevelType w:val="hybridMultilevel"/>
    <w:tmpl w:val="03983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37F7C"/>
    <w:multiLevelType w:val="hybridMultilevel"/>
    <w:tmpl w:val="A5F42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E1"/>
    <w:rsid w:val="0001342E"/>
    <w:rsid w:val="000B5BBD"/>
    <w:rsid w:val="0017286F"/>
    <w:rsid w:val="001D4940"/>
    <w:rsid w:val="002A1FD8"/>
    <w:rsid w:val="002D6973"/>
    <w:rsid w:val="003440CA"/>
    <w:rsid w:val="005237A6"/>
    <w:rsid w:val="00571902"/>
    <w:rsid w:val="00646904"/>
    <w:rsid w:val="00675B81"/>
    <w:rsid w:val="00743EA9"/>
    <w:rsid w:val="009353D5"/>
    <w:rsid w:val="00A31CD5"/>
    <w:rsid w:val="00AE24D6"/>
    <w:rsid w:val="00B704F6"/>
    <w:rsid w:val="00CA6DE7"/>
    <w:rsid w:val="00D41EE8"/>
    <w:rsid w:val="00F67DF8"/>
    <w:rsid w:val="00FA1CE1"/>
    <w:rsid w:val="00FC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E356D-7683-41D3-9425-24E9EABE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1"/>
  </w:style>
  <w:style w:type="paragraph" w:styleId="Footer">
    <w:name w:val="footer"/>
    <w:basedOn w:val="Normal"/>
    <w:link w:val="FooterChar"/>
    <w:uiPriority w:val="99"/>
    <w:unhideWhenUsed/>
    <w:rsid w:val="00FA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1"/>
  </w:style>
  <w:style w:type="paragraph" w:styleId="NoSpacing">
    <w:name w:val="No Spacing"/>
    <w:uiPriority w:val="1"/>
    <w:qFormat/>
    <w:rsid w:val="00FA1CE1"/>
    <w:pPr>
      <w:spacing w:after="0" w:line="240" w:lineRule="auto"/>
    </w:pPr>
  </w:style>
  <w:style w:type="paragraph" w:styleId="ListParagraph">
    <w:name w:val="List Paragraph"/>
    <w:basedOn w:val="Normal"/>
    <w:uiPriority w:val="34"/>
    <w:qFormat/>
    <w:rsid w:val="00B704F6"/>
    <w:pPr>
      <w:ind w:left="720"/>
      <w:contextualSpacing/>
    </w:pPr>
  </w:style>
  <w:style w:type="character" w:styleId="Hyperlink">
    <w:name w:val="Hyperlink"/>
    <w:basedOn w:val="DefaultParagraphFont"/>
    <w:uiPriority w:val="99"/>
    <w:unhideWhenUsed/>
    <w:rsid w:val="0001342E"/>
    <w:rPr>
      <w:color w:val="0563C1" w:themeColor="hyperlink"/>
      <w:u w:val="single"/>
    </w:rPr>
  </w:style>
  <w:style w:type="paragraph" w:styleId="BalloonText">
    <w:name w:val="Balloon Text"/>
    <w:basedOn w:val="Normal"/>
    <w:link w:val="BalloonTextChar"/>
    <w:uiPriority w:val="99"/>
    <w:semiHidden/>
    <w:unhideWhenUsed/>
    <w:rsid w:val="00FC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Kelli</dc:creator>
  <cp:keywords/>
  <dc:description/>
  <cp:lastModifiedBy>Thompson, Norma</cp:lastModifiedBy>
  <cp:revision>2</cp:revision>
  <cp:lastPrinted>2019-11-13T20:53:00Z</cp:lastPrinted>
  <dcterms:created xsi:type="dcterms:W3CDTF">2019-11-21T19:29:00Z</dcterms:created>
  <dcterms:modified xsi:type="dcterms:W3CDTF">2019-11-21T19:29:00Z</dcterms:modified>
</cp:coreProperties>
</file>